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3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I. Информация о позиции</w:t>
            </w:r>
          </w:p>
        </w:tc>
      </w:tr>
      <w:tr>
        <w:trPr>
          <w:cantSplit w:val="1"/>
          <w:trHeight w:val="3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240" w:lineRule="auto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8"/>
                <w:szCs w:val="28"/>
                <w:rtl w:val="0"/>
              </w:rPr>
              <w:t xml:space="preserve">Название позиции: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консультант по разработке бизнес-плана Green Tech Hub</w:t>
            </w:r>
          </w:p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Название проекта: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Глобальная программа инновационных проектов в области чистых технологий в Казахстане: Содействие в продвижении инноваций в области чистых технологий и малого и среднего предпринимательства (далее - МСП) для создания зеленых рабочих мест в Казахстане</w:t>
            </w:r>
          </w:p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Тип контракта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: Договор о возмездном оказании услуг (ДВУ)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Срок: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с даты подписания Договора до 10 апреля 2025 года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Занятость: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частичная занятость, с возможными поездками  </w:t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8"/>
                <w:szCs w:val="28"/>
                <w:rtl w:val="0"/>
              </w:rPr>
              <w:t xml:space="preserve">Место работы: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Астана, Казахстан</w:t>
            </w:r>
          </w:p>
        </w:tc>
      </w:tr>
    </w:tbl>
    <w:p w:rsidR="00000000" w:rsidDel="00000000" w:rsidP="00000000" w:rsidRDefault="00000000" w:rsidRPr="00000000" w14:paraId="00000009">
      <w:pPr>
        <w:spacing w:after="12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3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II. Основание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Цель проекта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: ускорение инноваций в области экологически чистых технологий и предпринимательства со стороны малых и средних предприятий и стартапов, а также укрепление экосистемы инноваций и предпринимательства в области чистых технологий в Казахстане. 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Проект финансируется Глобальным Экологическим Фондом (далее - ГЭФ).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Период реализации проекта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: 3 года.  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Бенефициары проекта: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Министерство экологии и природных ресурсов РК (далее – МЭПР), частный сектор и НПО, научно-исследовательские институты.    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Проект ЮНИДО-ГЭФ направлен на поддержку этапов формирования предприятий чистых технологий.  Широкое распространение и использование чистых технологий имеет значительный потенциал для решения серьезных проблем, связанных с изменением климата и окружающей средой, с которыми сегодня сталкивается глобальное сообщество и его правительства, и Республика Казахстан не является исключением.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МСП и стартапы являются ключевыми двигателями роста сектора чистых технологий в странах с формирующейся рыночной экономикой и развивающихся странах. Их понимание местных потребностей и наиболее острых экологических проблем дает местным МСП и стартапам уникальную возможность поставлять экологически чистые продукты и услуги, которые удовлетворяют реальный спрос. Активное продвижение и внедрение инноваций в области чистых технологий будет способствовать дальнейшему укреплению усилий Казахстана по обеспечению устойчивого развития с низким уровнем выбросов углерода.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 итогам проекта Казахстан должен создать экосистему поддержки и реализации проектов в области чистых технологий в целях более устойчивого развития промышленного и других секторов экономики и создавать условия для постоянного притока внутренних инновационных идей и решений для зеленого развития. Так экосистема должна существовать и развиваться, самостоятельно используя местные бюджетные и бизнес-ресурсы и в целом поддерживать на постоянной основе конечную цель проекта GCIP Kazakhstan с тем, чтобы результаты проекта имели практическое продолжение. В этих целях разрабатывается бизнес-план создания Green Tech Hub (далее - GTH)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1) консультант должен предоставлять услуги под непосредственным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руководством Директора Департамента зеленых технологий НАО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«Международный центр зеленых технологий и инвестиционных проектов» (далее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– МЦЗТИП);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2) консультант должен координировать работу с заинтересованными и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09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соответствующими организациями для выполнения услуг;</w:t>
            </w:r>
          </w:p>
        </w:tc>
      </w:tr>
    </w:tbl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73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1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  <w:rtl w:val="0"/>
              </w:rPr>
              <w:t xml:space="preserve">III. Функции и объем услуг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Консультант выполняет следующие основные функции, но не ограничивается этим: 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анализ текущей ситуации, рыночных условий и предпосылок создания GTH в Республике Казахстан;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анализ международного опыта хабов зеленых технологий;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рекомендаций по потенциальным источникам финансирования и доходности GTH;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рекомендаций с потребностями внесения изменений в НПА;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концепция организационной формы и структуры GTH;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концепция продуктов GTH;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концепция инструментов поддержки и преференций GTH;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концепция маркетингового плана развития GTH;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определение инфраструктурных и технических потребностей;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определение потенциальных рисков;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дорожной карты мероприятий.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Консультант выполняет следующие виды услуг по документации и отчетности: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0" w:line="240" w:lineRule="auto"/>
              <w:ind w:left="1080" w:hanging="72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предоставить подписанный ЭЦП отчет в электронной форме посредством системы ЭДО и предоставить (по запросу) отчет в формате *.doc на указанную корпоративную электронную почту.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73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shd w:fill="e0e0e0" w:val="clear"/>
          </w:tcPr>
          <w:p w:rsidR="00000000" w:rsidDel="00000000" w:rsidP="00000000" w:rsidRDefault="00000000" w:rsidRPr="00000000" w14:paraId="0000002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24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8"/>
                <w:szCs w:val="28"/>
                <w:rtl w:val="0"/>
              </w:rPr>
              <w:t xml:space="preserve">IV. Задачи и ожидаемые результаты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Общей целью предоставления услуг </w:t>
              <w:br w:type="textWrapping"/>
              <w:t xml:space="preserve">является описание технические параметры Стратегии, определяющей переход Казахстана к новому уровню экологической устойчивости и экономического роста, направленного на использование чистых технологий.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Исполнитель обязуется произвести следующие виды работ:</w:t>
            </w:r>
          </w:p>
          <w:p w:rsidR="00000000" w:rsidDel="00000000" w:rsidP="00000000" w:rsidRDefault="00000000" w:rsidRPr="00000000" w14:paraId="0000002E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дорожная карта создания GTH;</w:t>
            </w:r>
          </w:p>
          <w:p w:rsidR="00000000" w:rsidDel="00000000" w:rsidP="00000000" w:rsidRDefault="00000000" w:rsidRPr="00000000" w14:paraId="0000002F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SWOT-анализ;</w:t>
            </w:r>
          </w:p>
          <w:p w:rsidR="00000000" w:rsidDel="00000000" w:rsidP="00000000" w:rsidRDefault="00000000" w:rsidRPr="00000000" w14:paraId="00000030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Анализ внутреннего рынка технопарков и экологического инновационного сообщества (не менее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31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Анализ международного опыта хабов в области зеленых технологий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(не менее 3)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32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Разработка организационной структуры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 карты стейкхолдеров (не менее 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;</w:t>
            </w:r>
          </w:p>
          <w:p w:rsidR="00000000" w:rsidDel="00000000" w:rsidP="00000000" w:rsidRDefault="00000000" w:rsidRPr="00000000" w14:paraId="00000033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Подготовка финансовых моделей, плана бюджетирования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инвестиций для запуска и развития;</w:t>
            </w:r>
          </w:p>
          <w:p w:rsidR="00000000" w:rsidDel="00000000" w:rsidP="00000000" w:rsidRDefault="00000000" w:rsidRPr="00000000" w14:paraId="00000034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Проведение интервью с ключевыми стейкхолдерами из числа государственных органов, НИИ, общественных организаций, инвесторов, субъектов предпринимательства и стартап-сообщества (не менее 1 представителя каждой кате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35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рекомендаций на основании анализа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НПА;</w:t>
            </w:r>
          </w:p>
          <w:p w:rsidR="00000000" w:rsidDel="00000000" w:rsidP="00000000" w:rsidRDefault="00000000" w:rsidRPr="00000000" w14:paraId="00000036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Маркетинговый план;</w:t>
            </w:r>
          </w:p>
          <w:p w:rsidR="00000000" w:rsidDel="00000000" w:rsidP="00000000" w:rsidRDefault="00000000" w:rsidRPr="00000000" w14:paraId="00000037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Определение основных потребностей в инфраструктурных объектах и техническом оснащении;</w:t>
            </w:r>
          </w:p>
          <w:p w:rsidR="00000000" w:rsidDel="00000000" w:rsidP="00000000" w:rsidRDefault="00000000" w:rsidRPr="00000000" w14:paraId="00000038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План работы с сообществом выпускнико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GCIP, его менторов, тренеров и судей в Казахстане;</w:t>
            </w:r>
          </w:p>
          <w:p w:rsidR="00000000" w:rsidDel="00000000" w:rsidP="00000000" w:rsidRDefault="00000000" w:rsidRPr="00000000" w14:paraId="00000039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План работы по интеграции с международными партнерами (не менее 2);</w:t>
            </w:r>
          </w:p>
          <w:p w:rsidR="00000000" w:rsidDel="00000000" w:rsidP="00000000" w:rsidRDefault="00000000" w:rsidRPr="00000000" w14:paraId="0000003A">
            <w:pPr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left="720" w:hanging="720"/>
              <w:jc w:val="both"/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разработка перечня 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лючевы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риск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и барьер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8"/>
                <w:szCs w:val="28"/>
                <w:rtl w:val="0"/>
              </w:rPr>
              <w:t xml:space="preserve"> в ходе реализации GTH.</w:t>
            </w:r>
          </w:p>
        </w:tc>
      </w:tr>
    </w:tbl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 </w:t>
      </w:r>
    </w:p>
    <w:tbl>
      <w:tblPr>
        <w:tblStyle w:val="Table5"/>
        <w:tblW w:w="10065.0" w:type="dxa"/>
        <w:jc w:val="left"/>
        <w:tblInd w:w="-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7185"/>
        <w:tblGridChange w:id="0">
          <w:tblGrid>
            <w:gridCol w:w="2880"/>
            <w:gridCol w:w="718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e0e0e0" w:val="clear"/>
          </w:tcPr>
          <w:p w:rsidR="00000000" w:rsidDel="00000000" w:rsidP="00000000" w:rsidRDefault="00000000" w:rsidRPr="00000000" w14:paraId="0000003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8"/>
                <w:szCs w:val="28"/>
                <w:rtl w:val="0"/>
              </w:rPr>
              <w:t xml:space="preserve">V. Квалификационные требования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Образование: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Высшее техническое, экономическое или гуманитарное, степень магистра приветствуется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работы: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Не менее трех (3) лет профессионального опыта в реализации международных проектов, разработке стратегических документов, бизнес-консалтинга, в том числе в области экологии, экономики, развития технологий;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методического консультирования и/или подготовки и проведения тренингов;  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Знания в области инновационных технологий, обучающих программах, и управления проектами;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работы в подготовке аналитических отчетов, информационных справок, стратегических документов, отчетов;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в подготовке, организации и проведении форумов, семинаров, тренингов;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Опыт работы в реализации грантовых проектов приветствуется;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Отличные навыки коммуникации и отличные навыки презентации;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Понимание гендерных аспектов;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2"/>
              </w:numPr>
              <w:spacing w:after="0" w:line="240" w:lineRule="auto"/>
              <w:ind w:left="273" w:hanging="273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Уверенный пользователь ПК.</w:t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Языковые требования: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Казахский, русский, английский</w:t>
            </w:r>
          </w:p>
        </w:tc>
      </w:tr>
    </w:tbl>
    <w:p w:rsidR="00000000" w:rsidDel="00000000" w:rsidP="00000000" w:rsidRDefault="00000000" w:rsidRPr="00000000" w14:paraId="0000004D">
      <w:pPr>
        <w:spacing w:after="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Этапы предоставления работ: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 этап: 1 редакция Бизнес-Плана. Срок –  17 февраля;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 этап: 2 редакция Бизнес-Плана. Срок – 10 марта;</w:t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 этап: Итоговая редакция Бизнес-Плана. Срок – 31 марта.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Финансовые условия: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Оплата за оказанные услуги производится согласно таблице, указанной ниже в</w:t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течение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10-ти (десяти) рабочих дней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 дня подписания акта выполненных работ (оказанных услуг):</w:t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6"/>
            <w:tblW w:w="985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210"/>
            <w:gridCol w:w="6645"/>
            <w:tblGridChange w:id="0">
              <w:tblGrid>
                <w:gridCol w:w="3210"/>
                <w:gridCol w:w="66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7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% от суммы договора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8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Этап оказания услуг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9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30%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A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8"/>
                    <w:szCs w:val="28"/>
                    <w:rtl w:val="0"/>
                  </w:rPr>
                  <w:t xml:space="preserve">Этап 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B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30%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C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8"/>
                    <w:szCs w:val="28"/>
                    <w:rtl w:val="0"/>
                  </w:rPr>
                  <w:t xml:space="preserve">Этап II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8"/>
                    <w:szCs w:val="28"/>
                    <w:rtl w:val="0"/>
                  </w:rPr>
                  <w:t xml:space="preserve">40%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E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sz w:val="28"/>
                    <w:szCs w:val="28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sz w:val="28"/>
                    <w:szCs w:val="28"/>
                    <w:rtl w:val="0"/>
                  </w:rPr>
                  <w:t xml:space="preserve">Этап III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F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851" w:top="1701" w:left="1134" w:right="1134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Times New Roman" w:cs="Times New Roman" w:eastAsia="Times New Roman" w:hAnsi="Times New Roman"/>
        <w:b w:val="1"/>
        <w:color w:val="000000"/>
        <w:sz w:val="28"/>
        <w:szCs w:val="28"/>
      </w:rPr>
    </w:pPr>
    <w:r w:rsidDel="00000000" w:rsidR="00000000" w:rsidRPr="00000000">
      <w:rPr>
        <w:rtl w:val="0"/>
      </w:rPr>
    </w:r>
  </w:p>
  <w:tbl>
    <w:tblPr>
      <w:tblStyle w:val="Table7"/>
      <w:tblW w:w="10173.0" w:type="dxa"/>
      <w:jc w:val="left"/>
      <w:tblInd w:w="-230.0" w:type="dxa"/>
      <w:tblBorders>
        <w:top w:color="000000" w:space="0" w:sz="24" w:val="single"/>
        <w:left w:color="000000" w:space="0" w:sz="24" w:val="single"/>
        <w:bottom w:color="000000" w:space="0" w:sz="24" w:val="single"/>
        <w:right w:color="000000" w:space="0" w:sz="24" w:val="single"/>
      </w:tblBorders>
      <w:tblLayout w:type="fixed"/>
      <w:tblLook w:val="0000"/>
    </w:tblPr>
    <w:tblGrid>
      <w:gridCol w:w="1458"/>
      <w:gridCol w:w="8715"/>
      <w:tblGridChange w:id="0">
        <w:tblGrid>
          <w:gridCol w:w="1458"/>
          <w:gridCol w:w="8715"/>
        </w:tblGrid>
      </w:tblGridChange>
    </w:tblGrid>
    <w:tr>
      <w:trPr>
        <w:cantSplit w:val="1"/>
        <w:tblHeader w:val="0"/>
      </w:trPr>
      <w:tc>
        <w:tcPr>
          <w:shd w:fill="ffffff" w:val="clear"/>
          <w:vAlign w:val="center"/>
        </w:tcPr>
        <w:p w:rsidR="00000000" w:rsidDel="00000000" w:rsidP="00000000" w:rsidRDefault="00000000" w:rsidRPr="00000000" w14:paraId="00000062">
          <w:pPr>
            <w:rPr>
              <w:b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sz w:val="20"/>
              <w:szCs w:val="20"/>
            </w:rPr>
            <w:drawing>
              <wp:inline distB="0" distT="0" distL="0" distR="0">
                <wp:extent cx="723900" cy="314325"/>
                <wp:effectExtent b="0" l="0" r="0" t="0"/>
                <wp:docPr descr="Изображение выглядит как текст&#10;&#10;Автоматически созданное описание" id="6" name="image1.png"/>
                <a:graphic>
                  <a:graphicData uri="http://schemas.openxmlformats.org/drawingml/2006/picture">
                    <pic:pic>
                      <pic:nvPicPr>
                        <pic:cNvPr descr="Изображение выглядит как текст&#10;&#10;Автоматически созданное описание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fffff" w:val="clear"/>
        </w:tcPr>
        <w:p w:rsidR="00000000" w:rsidDel="00000000" w:rsidP="00000000" w:rsidRDefault="00000000" w:rsidRPr="00000000" w14:paraId="00000063">
          <w:pPr>
            <w:tabs>
              <w:tab w:val="left" w:leader="none" w:pos="1635"/>
            </w:tabs>
            <w:rPr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sz w:val="20"/>
              <w:szCs w:val="20"/>
              <w:rtl w:val="0"/>
            </w:rPr>
            <w:t xml:space="preserve">НАО «Международный центр зеленых технологий и инвестиционных проектов»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bullet"/>
      <w:lvlText w:val="●"/>
      <w:lvlJc w:val="left"/>
      <w:pPr>
        <w:ind w:left="720" w:hanging="72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%1.%2.●.%4"/>
      <w:lvlJc w:val="left"/>
      <w:pPr>
        <w:ind w:left="720" w:hanging="720"/>
      </w:pPr>
      <w:rPr/>
    </w:lvl>
    <w:lvl w:ilvl="4">
      <w:start w:val="1"/>
      <w:numFmt w:val="decimal"/>
      <w:lvlText w:val="%1.%2.●.%4.%5"/>
      <w:lvlJc w:val="left"/>
      <w:pPr>
        <w:ind w:left="1080" w:hanging="1080"/>
      </w:pPr>
      <w:rPr/>
    </w:lvl>
    <w:lvl w:ilvl="5">
      <w:start w:val="1"/>
      <w:numFmt w:val="decimal"/>
      <w:lvlText w:val="%1.%2.●.%4.%5.%6"/>
      <w:lvlJc w:val="left"/>
      <w:pPr>
        <w:ind w:left="1080" w:hanging="1080"/>
      </w:pPr>
      <w:rPr/>
    </w:lvl>
    <w:lvl w:ilvl="6">
      <w:start w:val="1"/>
      <w:numFmt w:val="decimal"/>
      <w:lvlText w:val="%1.%2.●.%4.%5.%6.%7"/>
      <w:lvlJc w:val="left"/>
      <w:pPr>
        <w:ind w:left="1440" w:hanging="1440"/>
      </w:pPr>
      <w:rPr/>
    </w:lvl>
    <w:lvl w:ilvl="7">
      <w:start w:val="1"/>
      <w:numFmt w:val="decimal"/>
      <w:lvlText w:val="%1.%2.●.%4.%5.%6.%7.%8"/>
      <w:lvlJc w:val="left"/>
      <w:pPr>
        <w:ind w:left="1440" w:hanging="1440"/>
      </w:pPr>
      <w:rPr/>
    </w:lvl>
    <w:lvl w:ilvl="8">
      <w:start w:val="1"/>
      <w:numFmt w:val="decimal"/>
      <w:lvlText w:val="%1.%2.●.%4.%5.%6.%7.%8.%9"/>
      <w:lvlJc w:val="left"/>
      <w:pPr>
        <w:ind w:left="1800" w:hanging="180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97BA9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6376BC"/>
    <w:pPr>
      <w:keepNext w:val="1"/>
      <w:spacing w:after="0" w:line="240" w:lineRule="auto"/>
      <w:outlineLvl w:val="0"/>
    </w:pPr>
    <w:rPr>
      <w:rFonts w:ascii="Arial" w:eastAsia="Times New Roman" w:hAnsi="Arial"/>
      <w:b w:val="1"/>
      <w:bCs w:val="1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6376BC"/>
    <w:pPr>
      <w:keepNext w:val="1"/>
      <w:spacing w:after="60" w:before="240"/>
      <w:outlineLvl w:val="1"/>
    </w:pPr>
    <w:rPr>
      <w:rFonts w:ascii="Calibri Light" w:eastAsia="Times New Roman" w:hAnsi="Calibri Light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6376BC"/>
    <w:pPr>
      <w:keepNext w:val="1"/>
      <w:spacing w:after="60" w:before="240"/>
      <w:outlineLvl w:val="2"/>
    </w:pPr>
    <w:rPr>
      <w:rFonts w:ascii="Calibri Light" w:eastAsia="Times New Roman" w:hAnsi="Calibri Light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aliases w:val="webb, webb,Знак Знак3,Знак Знак,Знак4 Знак Знак,Обычный (Web),Знак4,Знак4 Знак Знак Знак Знак,Знак4 Знак, Знак Знак3"/>
    <w:link w:val="NormalWebChar"/>
    <w:unhideWhenUsed w:val="1"/>
    <w:qFormat w:val="1"/>
    <w:rsid w:val="00997BA9"/>
    <w:rPr>
      <w:lang w:eastAsia="en-US"/>
    </w:rPr>
  </w:style>
  <w:style w:type="paragraph" w:styleId="-12" w:customStyle="1">
    <w:name w:val="Цветной список - Акцент 12"/>
    <w:aliases w:val="маркированный"/>
    <w:basedOn w:val="Normal"/>
    <w:uiPriority w:val="34"/>
    <w:qFormat w:val="1"/>
    <w:rsid w:val="00997BA9"/>
    <w:pPr>
      <w:ind w:left="720"/>
      <w:contextualSpacing w:val="1"/>
    </w:pPr>
  </w:style>
  <w:style w:type="paragraph" w:styleId="Default" w:customStyle="1">
    <w:name w:val="Default"/>
    <w:qFormat w:val="1"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1" w:customStyle="1">
    <w:name w:val="Абзац списка1"/>
    <w:basedOn w:val="Normal"/>
    <w:qFormat w:val="1"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TableGrid">
    <w:name w:val="Table Grid"/>
    <w:basedOn w:val="TableNormal"/>
    <w:uiPriority w:val="59"/>
    <w:rsid w:val="00997BA9"/>
    <w:tblPr>
      <w:tblInd w:w="0.0" w:type="nil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apple-converted-space" w:customStyle="1">
    <w:name w:val="apple-converted-space"/>
    <w:rsid w:val="00585014"/>
  </w:style>
  <w:style w:type="paragraph" w:styleId="BodyText">
    <w:name w:val="Body Text"/>
    <w:basedOn w:val="Normal"/>
    <w:link w:val="BodyTextChar"/>
    <w:uiPriority w:val="99"/>
    <w:unhideWhenUsed w:val="1"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eastAsia="x-none" w:val="x-none"/>
    </w:rPr>
  </w:style>
  <w:style w:type="character" w:styleId="BodyTextChar" w:customStyle="1">
    <w:name w:val="Body Text Char"/>
    <w:link w:val="BodyText"/>
    <w:uiPriority w:val="99"/>
    <w:rsid w:val="00A318F0"/>
    <w:rPr>
      <w:rFonts w:ascii="Arial" w:eastAsia="Times New Roman" w:hAnsi="Arial"/>
      <w:lang w:eastAsia="x-none" w:val="x-none"/>
    </w:rPr>
  </w:style>
  <w:style w:type="paragraph" w:styleId="Body" w:customStyle="1">
    <w:name w:val="Body"/>
    <w:rsid w:val="00A318F0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" w:cs="Arial Unicode MS" w:eastAsia="Arial Unicode MS" w:hAnsi="Arial Unicode MS"/>
      <w:color w:val="000000"/>
      <w:bdr w:space="0" w:sz="0" w:val="nil"/>
      <w:lang w:eastAsia="en-GB" w:val="en-US"/>
    </w:rPr>
  </w:style>
  <w:style w:type="character" w:styleId="CommentReference">
    <w:name w:val="annotation reference"/>
    <w:uiPriority w:val="99"/>
    <w:semiHidden w:val="1"/>
    <w:unhideWhenUsed w:val="1"/>
    <w:rsid w:val="00C70B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C70B23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C70B23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C70B23"/>
    <w:rPr>
      <w:b w:val="1"/>
      <w:bCs w:val="1"/>
    </w:rPr>
  </w:style>
  <w:style w:type="character" w:styleId="CommentSubjectChar" w:customStyle="1">
    <w:name w:val="Comment Subject Char"/>
    <w:link w:val="CommentSubject"/>
    <w:uiPriority w:val="99"/>
    <w:semiHidden w:val="1"/>
    <w:rsid w:val="00C70B23"/>
    <w:rPr>
      <w:b w:val="1"/>
      <w:bCs w:val="1"/>
      <w:lang w:val="ru-RU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70B2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 w:val="1"/>
    <w:rsid w:val="00C70B23"/>
    <w:rPr>
      <w:rFonts w:ascii="Segoe UI" w:cs="Segoe UI" w:hAnsi="Segoe UI"/>
      <w:sz w:val="18"/>
      <w:szCs w:val="18"/>
      <w:lang w:val="ru-RU"/>
    </w:rPr>
  </w:style>
  <w:style w:type="paragraph" w:styleId="ListParagraph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Normal"/>
    <w:link w:val="ListParagraphChar"/>
    <w:uiPriority w:val="34"/>
    <w:qFormat w:val="1"/>
    <w:rsid w:val="0036536C"/>
    <w:pPr>
      <w:spacing w:after="0" w:line="240" w:lineRule="auto"/>
      <w:ind w:left="720"/>
      <w:contextualSpacing w:val="1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styleId="NormalWebChar" w:customStyle="1">
    <w:name w:val="Normal (Web) Char"/>
    <w:aliases w:val="webb Char, webb Char,Знак Знак3 Char,Знак Знак Char,Знак4 Знак Знак Char,Обычный (Web) Char,Знак4 Char,Знак4 Знак Знак Знак Знак Char,Знак4 Знак Char, Знак Знак3 Char"/>
    <w:link w:val="NormalWeb"/>
    <w:rsid w:val="00F1032F"/>
    <w:rPr>
      <w:sz w:val="22"/>
      <w:szCs w:val="22"/>
      <w:lang w:eastAsia="en-US"/>
    </w:rPr>
  </w:style>
  <w:style w:type="paragraph" w:styleId="2" w:customStyle="1">
    <w:name w:val="???????2"/>
    <w:rsid w:val="006376BC"/>
    <w:pPr>
      <w:widowControl w:val="0"/>
    </w:pPr>
    <w:rPr>
      <w:rFonts w:ascii="Kudriashov" w:eastAsia="Times New Roman" w:hAnsi="Kudriashov"/>
      <w:lang w:eastAsia="en-US"/>
    </w:rPr>
  </w:style>
  <w:style w:type="character" w:styleId="Heading1Char" w:customStyle="1">
    <w:name w:val="Heading 1 Char"/>
    <w:link w:val="Heading1"/>
    <w:rsid w:val="006376BC"/>
    <w:rPr>
      <w:rFonts w:ascii="Arial" w:eastAsia="Times New Roman" w:hAnsi="Arial"/>
      <w:b w:val="1"/>
      <w:bCs w:val="1"/>
      <w:sz w:val="24"/>
      <w:szCs w:val="24"/>
    </w:rPr>
  </w:style>
  <w:style w:type="character" w:styleId="Heading2Char" w:customStyle="1">
    <w:name w:val="Heading 2 Char"/>
    <w:link w:val="Heading2"/>
    <w:uiPriority w:val="9"/>
    <w:semiHidden w:val="1"/>
    <w:rsid w:val="006376BC"/>
    <w:rPr>
      <w:rFonts w:ascii="Calibri Light" w:cs="Times New Roman" w:eastAsia="Times New Roman" w:hAnsi="Calibri Light"/>
      <w:b w:val="1"/>
      <w:bCs w:val="1"/>
      <w:i w:val="1"/>
      <w:iCs w:val="1"/>
      <w:sz w:val="28"/>
      <w:szCs w:val="28"/>
      <w:lang w:val="ru-RU"/>
    </w:rPr>
  </w:style>
  <w:style w:type="character" w:styleId="Heading3Char" w:customStyle="1">
    <w:name w:val="Heading 3 Char"/>
    <w:link w:val="Heading3"/>
    <w:uiPriority w:val="9"/>
    <w:semiHidden w:val="1"/>
    <w:rsid w:val="006376BC"/>
    <w:rPr>
      <w:rFonts w:ascii="Calibri Light" w:cs="Times New Roman" w:eastAsia="Times New Roman" w:hAnsi="Calibri Light"/>
      <w:b w:val="1"/>
      <w:bCs w:val="1"/>
      <w:sz w:val="26"/>
      <w:szCs w:val="26"/>
      <w:lang w:val="ru-RU"/>
    </w:rPr>
  </w:style>
  <w:style w:type="paragraph" w:styleId="Header">
    <w:name w:val="header"/>
    <w:basedOn w:val="Normal"/>
    <w:link w:val="HeaderChar"/>
    <w:uiPriority w:val="99"/>
    <w:unhideWhenUsed w:val="1"/>
    <w:rsid w:val="001435C2"/>
    <w:pPr>
      <w:tabs>
        <w:tab w:val="center" w:pos="4844"/>
        <w:tab w:val="right" w:pos="9689"/>
      </w:tabs>
    </w:pPr>
  </w:style>
  <w:style w:type="character" w:styleId="HeaderChar" w:customStyle="1">
    <w:name w:val="Header Char"/>
    <w:link w:val="Header"/>
    <w:uiPriority w:val="99"/>
    <w:rsid w:val="001435C2"/>
    <w:rPr>
      <w:sz w:val="22"/>
      <w:szCs w:val="22"/>
      <w:lang w:val="ru-RU"/>
    </w:rPr>
  </w:style>
  <w:style w:type="paragraph" w:styleId="Revision">
    <w:name w:val="Revision"/>
    <w:hidden w:val="1"/>
    <w:uiPriority w:val="99"/>
    <w:semiHidden w:val="1"/>
    <w:rsid w:val="00AD518C"/>
    <w:rPr>
      <w:lang w:eastAsia="en-US"/>
    </w:rPr>
  </w:style>
  <w:style w:type="paragraph" w:styleId="Footer">
    <w:name w:val="footer"/>
    <w:basedOn w:val="Normal"/>
    <w:link w:val="FooterChar"/>
    <w:uiPriority w:val="99"/>
    <w:unhideWhenUsed w:val="1"/>
    <w:rsid w:val="007A5B1A"/>
    <w:pPr>
      <w:tabs>
        <w:tab w:val="center" w:pos="4677"/>
        <w:tab w:val="right" w:pos="9355"/>
      </w:tabs>
    </w:pPr>
  </w:style>
  <w:style w:type="character" w:styleId="FooterChar" w:customStyle="1">
    <w:name w:val="Footer Char"/>
    <w:link w:val="Footer"/>
    <w:uiPriority w:val="99"/>
    <w:rsid w:val="007A5B1A"/>
    <w:rPr>
      <w:sz w:val="22"/>
      <w:szCs w:val="22"/>
      <w:lang w:eastAsia="en-US"/>
    </w:rPr>
  </w:style>
  <w:style w:type="paragraph" w:styleId="a" w:customStyle="1">
    <w:next w:val="NormalWeb"/>
    <w:unhideWhenUsed w:val="1"/>
    <w:qFormat w:val="1"/>
    <w:rsid w:val="00015813"/>
    <w:rPr>
      <w:lang w:eastAsia="en-US"/>
    </w:rPr>
  </w:style>
  <w:style w:type="character" w:styleId="ListParagraphChar" w:customStyle="1">
    <w:name w:val="List Paragraph Char"/>
    <w:aliases w:val="List Paragraph1 Char,Bullets Char,Left Bullet L1 Char,List Paragraph (numbered (a)) Char,WB Para Char,Párrafo de lista1 Char,LEVEL ONE Bullets Char,Akapit z listą BS Char,Цветной список - Акцент 11 Char,Medium Grid 1 - Accent 21 Char"/>
    <w:link w:val="ListParagraph"/>
    <w:uiPriority w:val="34"/>
    <w:locked w:val="1"/>
    <w:rsid w:val="002521AA"/>
    <w:rPr>
      <w:rFonts w:ascii="Times New Roman" w:eastAsia="Times New Roman" w:hAnsi="Times New Roman"/>
      <w:sz w:val="24"/>
      <w:szCs w:val="24"/>
      <w:lang w:eastAsia="en-US" w:val="en-GB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AA47A8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AA47A8"/>
    <w:rPr>
      <w:lang w:eastAsia="en-US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AA47A8"/>
    <w:rPr>
      <w:vertAlign w:val="superscript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3yq0gIcHTRiqfq04ae4Qwm1SZQ==">CgMxLjAaHwoBMBIaChgICVIUChJ0YWJsZS5jaWJza2pveWwyamUyCGguZ2pkZ3hzMgloLjMwajB6bGw4AHIhMVNTeTVtSTU4SF9zcU9aSUs1UFZnVDhudTZqRHg2aWsz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2024-05-21T09:51:00Z</dcterms:created>
  <dc:creator>MUSAPARBEKOV</dc:creator>
</cp:coreProperties>
</file>